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61F638">
      <w:pPr>
        <w:pStyle w:val="2"/>
        <w:numPr>
          <w:ilvl w:val="0"/>
          <w:numId w:val="0"/>
        </w:numPr>
        <w:bidi w:val="0"/>
        <w:ind w:leftChars="0"/>
        <w:jc w:val="center"/>
        <w:rPr>
          <w:rFonts w:hint="eastAsia" w:ascii="仿宋" w:hAnsi="仿宋" w:eastAsia="仿宋" w:cs="仿宋"/>
          <w:lang w:val="en-US" w:eastAsia="zh-CN"/>
        </w:rPr>
      </w:pPr>
      <w:bookmarkStart w:id="0" w:name="_Toc28581"/>
      <w:r>
        <w:rPr>
          <w:rFonts w:hint="eastAsia" w:ascii="仿宋" w:hAnsi="仿宋" w:eastAsia="仿宋" w:cs="仿宋"/>
          <w:lang w:val="en-US" w:eastAsia="zh-CN"/>
        </w:rPr>
        <w:t>教务管理系统退改选操作指南</w:t>
      </w:r>
    </w:p>
    <w:p w14:paraId="4BF62644">
      <w:pPr>
        <w:pStyle w:val="2"/>
        <w:bidi w:val="0"/>
        <w:rPr>
          <w:rFonts w:hint="eastAsia" w:ascii="仿宋" w:hAnsi="仿宋" w:eastAsia="仿宋" w:cs="仿宋"/>
          <w:lang w:val="en-US" w:eastAsia="zh-CN"/>
        </w:rPr>
      </w:pPr>
      <w:r>
        <w:rPr>
          <w:rFonts w:hint="eastAsia" w:ascii="仿宋" w:hAnsi="仿宋" w:eastAsia="仿宋" w:cs="仿宋"/>
          <w:lang w:val="en-US" w:eastAsia="zh-CN"/>
        </w:rPr>
        <w:t>登录</w:t>
      </w:r>
      <w:bookmarkEnd w:id="0"/>
    </w:p>
    <w:p w14:paraId="34A15B0E">
      <w:pPr>
        <w:pStyle w:val="3"/>
        <w:numPr>
          <w:ilvl w:val="1"/>
          <w:numId w:val="2"/>
        </w:numPr>
        <w:tabs>
          <w:tab w:val="left" w:pos="432"/>
        </w:tabs>
        <w:bidi w:val="0"/>
        <w:rPr>
          <w:rFonts w:hint="eastAsia" w:ascii="仿宋" w:hAnsi="仿宋" w:eastAsia="仿宋" w:cs="仿宋"/>
        </w:rPr>
      </w:pPr>
      <w:bookmarkStart w:id="1" w:name="_Toc145583561"/>
      <w:bookmarkStart w:id="2" w:name="_Toc32676"/>
      <w:bookmarkStart w:id="3" w:name="_Toc14259"/>
      <w:r>
        <w:rPr>
          <w:rFonts w:hint="eastAsia" w:ascii="仿宋" w:hAnsi="仿宋" w:eastAsia="仿宋" w:cs="仿宋"/>
        </w:rPr>
        <w:t>浏览器要求</w:t>
      </w:r>
      <w:bookmarkEnd w:id="1"/>
      <w:bookmarkEnd w:id="2"/>
      <w:bookmarkEnd w:id="3"/>
    </w:p>
    <w:p w14:paraId="5A964A10">
      <w:pPr>
        <w:spacing w:line="360" w:lineRule="auto"/>
        <w:ind w:firstLine="42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本系统支持Chrome</w:t>
      </w:r>
      <w:r>
        <w:rPr>
          <w:rFonts w:hint="eastAsia" w:ascii="仿宋" w:hAnsi="仿宋" w:eastAsia="仿宋" w:cs="仿宋"/>
          <w:sz w:val="24"/>
          <w:szCs w:val="24"/>
        </w:rPr>
        <w:drawing>
          <wp:inline distT="0" distB="0" distL="114300" distR="114300">
            <wp:extent cx="191135" cy="191135"/>
            <wp:effectExtent l="0" t="0" r="18415" b="1841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91135" cy="191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仿宋" w:hAnsi="仿宋" w:eastAsia="仿宋" w:cs="仿宋"/>
          <w:sz w:val="24"/>
          <w:szCs w:val="24"/>
        </w:rPr>
        <w:t>（推荐）、Edge</w:t>
      </w:r>
      <w:r>
        <w:rPr>
          <w:rFonts w:hint="eastAsia" w:ascii="仿宋" w:hAnsi="仿宋" w:eastAsia="仿宋" w:cs="仿宋"/>
          <w:sz w:val="24"/>
          <w:szCs w:val="24"/>
        </w:rPr>
        <w:drawing>
          <wp:inline distT="0" distB="0" distL="114300" distR="114300">
            <wp:extent cx="184150" cy="184150"/>
            <wp:effectExtent l="0" t="0" r="6350" b="6350"/>
            <wp:docPr id="4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8415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仿宋" w:hAnsi="仿宋" w:eastAsia="仿宋" w:cs="仿宋"/>
          <w:sz w:val="24"/>
          <w:szCs w:val="24"/>
        </w:rPr>
        <w:t>、Firefox</w:t>
      </w:r>
      <w:r>
        <w:rPr>
          <w:rFonts w:hint="eastAsia" w:ascii="仿宋" w:hAnsi="仿宋" w:eastAsia="仿宋" w:cs="仿宋"/>
          <w:sz w:val="24"/>
          <w:szCs w:val="24"/>
        </w:rPr>
        <w:drawing>
          <wp:inline distT="0" distB="0" distL="114300" distR="114300">
            <wp:extent cx="184150" cy="184150"/>
            <wp:effectExtent l="0" t="0" r="6350" b="6350"/>
            <wp:docPr id="2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3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8415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仿宋" w:hAnsi="仿宋" w:eastAsia="仿宋" w:cs="仿宋"/>
          <w:sz w:val="24"/>
          <w:szCs w:val="24"/>
        </w:rPr>
        <w:t>、Safari</w:t>
      </w:r>
      <w:r>
        <w:rPr>
          <w:rFonts w:hint="eastAsia" w:ascii="仿宋" w:hAnsi="仿宋" w:eastAsia="仿宋" w:cs="仿宋"/>
          <w:sz w:val="24"/>
          <w:szCs w:val="24"/>
        </w:rPr>
        <w:drawing>
          <wp:inline distT="0" distB="0" distL="114300" distR="114300">
            <wp:extent cx="197485" cy="197485"/>
            <wp:effectExtent l="0" t="0" r="12065" b="12065"/>
            <wp:docPr id="6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4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97485" cy="197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仿宋" w:hAnsi="仿宋" w:eastAsia="仿宋" w:cs="仿宋"/>
          <w:sz w:val="24"/>
          <w:szCs w:val="24"/>
        </w:rPr>
        <w:t>、360</w:t>
      </w:r>
      <w:r>
        <w:rPr>
          <w:rFonts w:hint="eastAsia" w:ascii="仿宋" w:hAnsi="仿宋" w:eastAsia="仿宋" w:cs="仿宋"/>
          <w:sz w:val="24"/>
          <w:szCs w:val="24"/>
        </w:rPr>
        <w:drawing>
          <wp:inline distT="0" distB="0" distL="114300" distR="114300">
            <wp:extent cx="241300" cy="245745"/>
            <wp:effectExtent l="0" t="0" r="6350" b="1905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10"/>
                    <a:srcRect l="35516" t="21829" r="35709" b="25436"/>
                    <a:stretch>
                      <a:fillRect/>
                    </a:stretch>
                  </pic:blipFill>
                  <pic:spPr>
                    <a:xfrm>
                      <a:off x="0" y="0"/>
                      <a:ext cx="241300" cy="245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仿宋" w:hAnsi="仿宋" w:eastAsia="仿宋" w:cs="仿宋"/>
          <w:sz w:val="24"/>
          <w:szCs w:val="24"/>
        </w:rPr>
        <w:t>等浏览器。</w:t>
      </w:r>
    </w:p>
    <w:p w14:paraId="694768D1">
      <w:pPr>
        <w:pStyle w:val="3"/>
        <w:numPr>
          <w:ilvl w:val="0"/>
          <w:numId w:val="0"/>
        </w:numPr>
        <w:tabs>
          <w:tab w:val="left" w:pos="432"/>
          <w:tab w:val="clear" w:pos="681"/>
        </w:tabs>
        <w:bidi w:val="0"/>
        <w:ind w:left="105" w:leftChars="0"/>
        <w:rPr>
          <w:rFonts w:hint="eastAsia" w:ascii="仿宋" w:hAnsi="仿宋" w:eastAsia="仿宋" w:cs="仿宋"/>
        </w:rPr>
      </w:pPr>
      <w:bookmarkStart w:id="4" w:name="_Toc145583562"/>
      <w:bookmarkStart w:id="5" w:name="_Toc1668"/>
      <w:bookmarkStart w:id="6" w:name="_Toc30882"/>
      <w:r>
        <w:rPr>
          <w:rFonts w:hint="eastAsia" w:ascii="仿宋" w:hAnsi="仿宋" w:eastAsia="仿宋" w:cs="仿宋"/>
        </w:rPr>
        <w:t>1.2 系统登录</w:t>
      </w:r>
      <w:bookmarkEnd w:id="4"/>
      <w:bookmarkEnd w:id="5"/>
      <w:bookmarkEnd w:id="6"/>
    </w:p>
    <w:p w14:paraId="1BC27BE6">
      <w:pPr>
        <w:spacing w:line="360" w:lineRule="auto"/>
        <w:ind w:firstLine="42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教务管理系统访问地址为：</w:t>
      </w:r>
      <w:r>
        <w:rPr>
          <w:rFonts w:hint="eastAsia" w:ascii="仿宋" w:hAnsi="仿宋" w:eastAsia="仿宋" w:cs="仿宋"/>
        </w:rPr>
        <w:t>http://jwxt.nfu.edu.cn/jwglxt/</w:t>
      </w:r>
    </w:p>
    <w:p w14:paraId="6BE30AFD">
      <w:pPr>
        <w:spacing w:line="360" w:lineRule="auto"/>
        <w:ind w:firstLine="42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学生</w:t>
      </w:r>
      <w:r>
        <w:rPr>
          <w:rFonts w:hint="eastAsia" w:ascii="仿宋" w:hAnsi="仿宋" w:eastAsia="仿宋" w:cs="仿宋"/>
          <w:sz w:val="24"/>
          <w:szCs w:val="24"/>
        </w:rPr>
        <w:t>以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学号</w:t>
      </w:r>
      <w:r>
        <w:rPr>
          <w:rFonts w:hint="eastAsia" w:ascii="仿宋" w:hAnsi="仿宋" w:eastAsia="仿宋" w:cs="仿宋"/>
          <w:sz w:val="24"/>
          <w:szCs w:val="24"/>
        </w:rPr>
        <w:t>作为用户名登录，初始密码为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身份证</w:t>
      </w:r>
      <w:r>
        <w:rPr>
          <w:rFonts w:hint="eastAsia" w:ascii="仿宋" w:hAnsi="仿宋" w:eastAsia="仿宋" w:cs="仿宋"/>
          <w:sz w:val="24"/>
          <w:szCs w:val="24"/>
        </w:rPr>
        <w:t>后六位,修改后的新密码复杂度，需满足大小写、中英文、数字、特殊符号。</w:t>
      </w:r>
    </w:p>
    <w:p w14:paraId="244F9A75">
      <w:pPr>
        <w:rPr>
          <w:rFonts w:hint="eastAsia" w:ascii="仿宋" w:hAnsi="仿宋" w:eastAsia="仿宋" w:cs="仿宋"/>
        </w:rPr>
      </w:pPr>
    </w:p>
    <w:p w14:paraId="7762D9C4">
      <w:pPr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drawing>
          <wp:inline distT="0" distB="0" distL="114300" distR="114300">
            <wp:extent cx="5270500" cy="3495675"/>
            <wp:effectExtent l="0" t="0" r="6350" b="9525"/>
            <wp:docPr id="3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6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3495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7" w:name="_Toc6551"/>
      <w:bookmarkStart w:id="8" w:name="_Toc30842"/>
    </w:p>
    <w:p w14:paraId="4442589D">
      <w:pPr>
        <w:rPr>
          <w:rFonts w:hint="eastAsia" w:ascii="仿宋" w:hAnsi="仿宋" w:eastAsia="仿宋" w:cs="仿宋"/>
        </w:rPr>
      </w:pPr>
    </w:p>
    <w:p w14:paraId="53DB1BE1">
      <w:pPr>
        <w:pStyle w:val="2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选课</w:t>
      </w:r>
      <w:bookmarkEnd w:id="7"/>
      <w:bookmarkEnd w:id="8"/>
    </w:p>
    <w:p w14:paraId="0A07BFF1">
      <w:pPr>
        <w:pStyle w:val="3"/>
        <w:rPr>
          <w:rFonts w:hint="eastAsia" w:ascii="仿宋" w:hAnsi="仿宋" w:eastAsia="仿宋" w:cs="仿宋"/>
        </w:rPr>
      </w:pPr>
      <w:bookmarkStart w:id="9" w:name="_Toc11585"/>
      <w:bookmarkStart w:id="10" w:name="_Toc31605"/>
      <w:r>
        <w:rPr>
          <w:rFonts w:hint="eastAsia" w:ascii="仿宋" w:hAnsi="仿宋" w:eastAsia="仿宋" w:cs="仿宋"/>
        </w:rPr>
        <w:t>自主选课</w:t>
      </w:r>
      <w:bookmarkEnd w:id="9"/>
      <w:bookmarkEnd w:id="10"/>
    </w:p>
    <w:p w14:paraId="4416BF77">
      <w:pPr>
        <w:ind w:left="0" w:firstLine="420" w:firstLineChars="200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功能描述：该功能主要用于学生在规定的时间内进行自主选课，可选择个人培养方案之外的课程。</w:t>
      </w:r>
    </w:p>
    <w:p w14:paraId="3E0FBDAC">
      <w:pPr>
        <w:ind w:left="0" w:firstLine="422" w:firstLineChars="200"/>
        <w:rPr>
          <w:rFonts w:hint="eastAsia" w:ascii="仿宋" w:hAnsi="仿宋" w:eastAsia="仿宋" w:cs="仿宋"/>
          <w:b/>
          <w:bCs/>
        </w:rPr>
      </w:pPr>
      <w:r>
        <w:rPr>
          <w:rFonts w:hint="eastAsia" w:ascii="仿宋" w:hAnsi="仿宋" w:eastAsia="仿宋" w:cs="仿宋"/>
          <w:b/>
          <w:bCs/>
        </w:rPr>
        <w:t>菜单路径：选课--自主选课。</w:t>
      </w:r>
    </w:p>
    <w:p w14:paraId="22136D6C">
      <w:pPr>
        <w:ind w:left="0" w:firstLine="420" w:firstLineChars="200"/>
        <w:rPr>
          <w:rFonts w:hint="eastAsia" w:ascii="仿宋" w:hAnsi="仿宋" w:eastAsia="仿宋" w:cs="仿宋"/>
        </w:rPr>
      </w:pPr>
      <w:r>
        <w:drawing>
          <wp:inline distT="0" distB="0" distL="114300" distR="114300">
            <wp:extent cx="3877945" cy="2120265"/>
            <wp:effectExtent l="0" t="0" r="8255" b="13335"/>
            <wp:docPr id="10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877945" cy="2120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9249DA">
      <w:pPr>
        <w:ind w:left="0" w:firstLine="420" w:firstLineChars="200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操作说明：</w:t>
      </w:r>
    </w:p>
    <w:p w14:paraId="67703B6B">
      <w:pPr>
        <w:ind w:left="0" w:firstLine="420" w:firstLineChars="200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学生角色进入选课--自主选课页面，按照筛选条件选择符合所需的课程，系统默认展示主修课程页签，</w:t>
      </w:r>
      <w:r>
        <w:rPr>
          <w:rFonts w:hint="eastAsia" w:ascii="仿宋" w:hAnsi="仿宋" w:eastAsia="仿宋" w:cs="仿宋"/>
          <w:lang w:val="en-US" w:eastAsia="zh-CN"/>
        </w:rPr>
        <w:t>进入页面后点击查询按钮，查询课程，</w:t>
      </w:r>
      <w:r>
        <w:rPr>
          <w:rFonts w:hint="eastAsia" w:ascii="仿宋" w:hAnsi="仿宋" w:eastAsia="仿宋" w:cs="仿宋"/>
          <w:b/>
          <w:bCs/>
        </w:rPr>
        <w:t>学生可切换至</w:t>
      </w:r>
      <w:r>
        <w:rPr>
          <w:rFonts w:hint="eastAsia" w:ascii="仿宋" w:hAnsi="仿宋" w:eastAsia="仿宋" w:cs="仿宋"/>
          <w:b/>
          <w:bCs/>
          <w:lang w:val="en-US" w:eastAsia="zh-CN"/>
        </w:rPr>
        <w:t>其他</w:t>
      </w:r>
      <w:r>
        <w:rPr>
          <w:rFonts w:hint="eastAsia" w:ascii="仿宋" w:hAnsi="仿宋" w:eastAsia="仿宋" w:cs="仿宋"/>
          <w:b/>
          <w:bCs/>
        </w:rPr>
        <w:t>页签</w:t>
      </w:r>
      <w:r>
        <w:rPr>
          <w:rFonts w:hint="eastAsia" w:ascii="仿宋" w:hAnsi="仿宋" w:eastAsia="仿宋" w:cs="仿宋"/>
          <w:b/>
          <w:bCs/>
          <w:lang w:eastAsia="zh-CN"/>
        </w:rPr>
        <w:t>，</w:t>
      </w:r>
      <w:r>
        <w:rPr>
          <w:rFonts w:hint="eastAsia" w:ascii="仿宋" w:hAnsi="仿宋" w:eastAsia="仿宋" w:cs="仿宋"/>
          <w:b/>
          <w:bCs/>
          <w:lang w:val="en-US" w:eastAsia="zh-CN"/>
        </w:rPr>
        <w:t>查看其余类型课程</w:t>
      </w:r>
      <w:r>
        <w:rPr>
          <w:rFonts w:hint="eastAsia" w:ascii="仿宋" w:hAnsi="仿宋" w:eastAsia="仿宋" w:cs="仿宋"/>
        </w:rPr>
        <w:t>，参考界面如下</w:t>
      </w:r>
      <w:r>
        <w:rPr>
          <w:rFonts w:hint="eastAsia" w:ascii="仿宋" w:hAnsi="仿宋" w:eastAsia="仿宋" w:cs="仿宋"/>
          <w:lang w:eastAsia="zh-CN"/>
        </w:rPr>
        <w:t>，</w:t>
      </w:r>
      <w:r>
        <w:rPr>
          <w:rFonts w:hint="eastAsia" w:ascii="仿宋" w:hAnsi="仿宋" w:eastAsia="仿宋" w:cs="仿宋"/>
          <w:lang w:val="en-US" w:eastAsia="zh-CN"/>
        </w:rPr>
        <w:t>点击这里切换标签</w:t>
      </w:r>
      <w:r>
        <w:rPr>
          <w:rFonts w:hint="eastAsia" w:ascii="仿宋" w:hAnsi="仿宋" w:eastAsia="仿宋" w:cs="仿宋"/>
        </w:rPr>
        <w:t>：</w:t>
      </w:r>
    </w:p>
    <w:p w14:paraId="4B4BF188">
      <w:pPr>
        <w:ind w:left="0" w:firstLine="0"/>
        <w:rPr>
          <w:rFonts w:hint="eastAsia" w:ascii="仿宋" w:hAnsi="仿宋" w:eastAsia="仿宋" w:cs="仿宋"/>
        </w:rPr>
      </w:pPr>
      <w:r>
        <w:drawing>
          <wp:inline distT="0" distB="0" distL="114300" distR="114300">
            <wp:extent cx="5761990" cy="2715895"/>
            <wp:effectExtent l="0" t="0" r="3810" b="1905"/>
            <wp:docPr id="11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2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761990" cy="2715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56200E">
      <w:pPr>
        <w:ind w:left="0" w:firstLine="420" w:firstLineChars="200"/>
        <w:rPr>
          <w:rFonts w:hint="eastAsia" w:ascii="仿宋" w:hAnsi="仿宋" w:eastAsia="仿宋" w:cs="仿宋"/>
        </w:rPr>
      </w:pPr>
      <w:r>
        <w:drawing>
          <wp:inline distT="0" distB="0" distL="114300" distR="114300">
            <wp:extent cx="5036820" cy="2232660"/>
            <wp:effectExtent l="0" t="0" r="17780" b="2540"/>
            <wp:docPr id="12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3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036820" cy="2232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ED54A4">
      <w:pPr>
        <w:ind w:left="0" w:firstLine="420" w:firstLineChars="200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点击【选课】，对课程进行选择，参考界面如下：</w:t>
      </w:r>
    </w:p>
    <w:p w14:paraId="069C0C9A">
      <w:pPr>
        <w:ind w:left="0" w:firstLine="0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drawing>
          <wp:inline distT="0" distB="0" distL="114300" distR="114300">
            <wp:extent cx="5267960" cy="2419350"/>
            <wp:effectExtent l="0" t="0" r="8890" b="0"/>
            <wp:docPr id="9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8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267960" cy="2419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B33E07">
      <w:pPr>
        <w:ind w:left="0" w:firstLine="0"/>
        <w:rPr>
          <w:rFonts w:hint="eastAsia" w:ascii="仿宋" w:hAnsi="仿宋" w:eastAsia="仿宋" w:cs="仿宋"/>
        </w:rPr>
      </w:pPr>
    </w:p>
    <w:p w14:paraId="50FE9429">
      <w:pPr>
        <w:ind w:left="0" w:firstLine="0"/>
        <w:jc w:val="center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drawing>
          <wp:inline distT="0" distB="0" distL="114300" distR="114300">
            <wp:extent cx="4268470" cy="4514850"/>
            <wp:effectExtent l="0" t="0" r="17780" b="0"/>
            <wp:docPr id="7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9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4268470" cy="451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C4835D">
      <w:pPr>
        <w:ind w:left="0" w:firstLine="420" w:firstLineChars="200"/>
        <w:rPr>
          <w:rFonts w:hint="eastAsia" w:ascii="仿宋" w:hAnsi="仿宋" w:eastAsia="仿宋" w:cs="仿宋"/>
          <w:lang w:val="en-US" w:eastAsia="zh-CN"/>
        </w:rPr>
      </w:pPr>
    </w:p>
    <w:p w14:paraId="375AAD87">
      <w:pPr>
        <w:ind w:left="0" w:firstLine="420" w:firstLineChars="200"/>
        <w:rPr>
          <w:rFonts w:hint="default" w:ascii="仿宋" w:hAnsi="仿宋" w:eastAsia="仿宋" w:cs="仿宋"/>
          <w:lang w:val="en-US" w:eastAsia="zh-CN"/>
        </w:rPr>
      </w:pPr>
      <w:r>
        <w:rPr>
          <w:rFonts w:hint="eastAsia" w:ascii="仿宋" w:hAnsi="仿宋" w:eastAsia="仿宋" w:cs="仿宋"/>
          <w:lang w:val="en-US" w:eastAsia="zh-CN"/>
        </w:rPr>
        <w:t>如需</w:t>
      </w:r>
      <w:r>
        <w:rPr>
          <w:rFonts w:hint="eastAsia" w:ascii="仿宋" w:hAnsi="仿宋" w:eastAsia="仿宋" w:cs="仿宋"/>
          <w:b/>
          <w:bCs/>
          <w:lang w:val="en-US" w:eastAsia="zh-CN"/>
        </w:rPr>
        <w:t>退课</w:t>
      </w:r>
      <w:r>
        <w:rPr>
          <w:rFonts w:hint="eastAsia" w:ascii="仿宋" w:hAnsi="仿宋" w:eastAsia="仿宋" w:cs="仿宋"/>
          <w:lang w:val="en-US" w:eastAsia="zh-CN"/>
        </w:rPr>
        <w:t>，点击右侧退选按钮，弹出提示是否确定退课，点击确定，即可退课成功。</w:t>
      </w:r>
    </w:p>
    <w:p w14:paraId="24C1D1DC">
      <w:pPr>
        <w:ind w:left="0" w:firstLine="420" w:firstLineChars="200"/>
      </w:pPr>
      <w:r>
        <w:drawing>
          <wp:inline distT="0" distB="0" distL="114300" distR="114300">
            <wp:extent cx="5265420" cy="1962150"/>
            <wp:effectExtent l="0" t="0" r="0" b="0"/>
            <wp:docPr id="8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1"/>
                    <pic:cNvPicPr>
                      <a:picLocks noChangeAspect="1"/>
                    </pic:cNvPicPr>
                  </pic:nvPicPr>
                  <pic:blipFill>
                    <a:blip r:embed="rId17"/>
                    <a:srcRect r="48" b="8390"/>
                    <a:stretch>
                      <a:fillRect/>
                    </a:stretch>
                  </pic:blipFill>
                  <pic:spPr>
                    <a:xfrm>
                      <a:off x="0" y="0"/>
                      <a:ext cx="5265420" cy="1962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517DF1">
      <w:pPr>
        <w:ind w:left="0" w:firstLine="420" w:firstLineChars="200"/>
        <w:rPr>
          <w:b/>
          <w:bCs/>
        </w:rPr>
      </w:pPr>
      <w:r>
        <w:drawing>
          <wp:inline distT="0" distB="0" distL="114300" distR="114300">
            <wp:extent cx="5260340" cy="1654175"/>
            <wp:effectExtent l="0" t="0" r="12700" b="6985"/>
            <wp:docPr id="13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2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260340" cy="1654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11" w:name="_GoBack"/>
      <w:bookmarkEnd w:id="1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F"/>
    <w:multiLevelType w:val="multilevel"/>
    <w:tmpl w:val="0000000F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3"/>
      <w:lvlText w:val="%1.%2"/>
      <w:lvlJc w:val="left"/>
      <w:pPr>
        <w:tabs>
          <w:tab w:val="left" w:pos="681"/>
        </w:tabs>
        <w:ind w:left="681" w:hanging="576"/>
      </w:pPr>
      <w:rPr>
        <w:rFonts w:hint="eastAsia"/>
      </w:rPr>
    </w:lvl>
    <w:lvl w:ilvl="2" w:tentative="0">
      <w:start w:val="1"/>
      <w:numFmt w:val="decimal"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 w:tentative="0">
      <w:start w:val="1"/>
      <w:numFmt w:val="decimal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tabs>
          <w:tab w:val="left" w:pos="2307"/>
        </w:tabs>
        <w:ind w:left="2307" w:hanging="1152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abstractNum w:abstractNumId="1">
    <w:nsid w:val="39D26316"/>
    <w:multiLevelType w:val="multilevel"/>
    <w:tmpl w:val="39D26316"/>
    <w:lvl w:ilvl="0" w:tentative="0">
      <w:start w:val="1"/>
      <w:numFmt w:val="decimal"/>
      <w:lvlText w:val="%1"/>
      <w:lvlJc w:val="left"/>
      <w:pPr>
        <w:ind w:left="0" w:firstLine="0"/>
      </w:pPr>
      <w:rPr>
        <w:rFonts w:hint="eastAsia" w:eastAsia="仿宋"/>
        <w:b/>
        <w:i w:val="0"/>
        <w:sz w:val="32"/>
      </w:rPr>
    </w:lvl>
    <w:lvl w:ilvl="1" w:tentative="0">
      <w:start w:val="1"/>
      <w:numFmt w:val="decimal"/>
      <w:lvlText w:val="%1.%2"/>
      <w:lvlJc w:val="left"/>
      <w:pPr>
        <w:ind w:left="0" w:firstLine="0"/>
      </w:pPr>
      <w:rPr>
        <w:rFonts w:hint="eastAsia" w:eastAsia="仿宋"/>
        <w:b/>
        <w:bCs w:val="0"/>
        <w:i w:val="0"/>
        <w:sz w:val="24"/>
      </w:rPr>
    </w:lvl>
    <w:lvl w:ilvl="2" w:tentative="0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 w:tentative="0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95A0FD1"/>
    <w:rsid w:val="06CD4715"/>
    <w:rsid w:val="08AE00F1"/>
    <w:rsid w:val="11141541"/>
    <w:rsid w:val="19433ED3"/>
    <w:rsid w:val="332C4231"/>
    <w:rsid w:val="42757C45"/>
    <w:rsid w:val="452F7C72"/>
    <w:rsid w:val="4FA407B6"/>
    <w:rsid w:val="58BE3A54"/>
    <w:rsid w:val="675334BD"/>
    <w:rsid w:val="6B0436C1"/>
    <w:rsid w:val="795A0FD1"/>
    <w:rsid w:val="79D577C9"/>
    <w:rsid w:val="FE791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ind w:left="454" w:hanging="454"/>
      <w:jc w:val="both"/>
    </w:pPr>
    <w:rPr>
      <w:rFonts w:ascii="Calibri" w:hAnsi="Calibri" w:eastAsia="宋体" w:cs="Calibr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numPr>
        <w:ilvl w:val="0"/>
        <w:numId w:val="1"/>
      </w:numPr>
      <w:spacing w:before="340" w:after="330" w:line="578" w:lineRule="auto"/>
      <w:outlineLvl w:val="0"/>
    </w:pPr>
    <w:rPr>
      <w:rFonts w:ascii="Calibri" w:hAnsi="Calibri"/>
      <w:b/>
      <w:bCs/>
      <w:kern w:val="44"/>
      <w:sz w:val="44"/>
      <w:szCs w:val="44"/>
    </w:rPr>
  </w:style>
  <w:style w:type="paragraph" w:styleId="3">
    <w:name w:val="heading 2"/>
    <w:basedOn w:val="2"/>
    <w:next w:val="1"/>
    <w:qFormat/>
    <w:uiPriority w:val="0"/>
    <w:pPr>
      <w:keepNext/>
      <w:keepLines/>
      <w:numPr>
        <w:ilvl w:val="1"/>
        <w:numId w:val="1"/>
      </w:numPr>
      <w:tabs>
        <w:tab w:val="clear" w:pos="432"/>
      </w:tabs>
      <w:spacing w:before="260" w:after="260" w:line="416" w:lineRule="auto"/>
      <w:outlineLvl w:val="1"/>
    </w:pPr>
    <w:rPr>
      <w:rFonts w:ascii="Cambria" w:hAnsi="Cambria"/>
      <w:b w:val="0"/>
      <w:bCs w:val="0"/>
      <w:sz w:val="32"/>
      <w:szCs w:val="32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png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0" Type="http://schemas.openxmlformats.org/officeDocument/2006/relationships/fontTable" Target="fontTable.xml"/><Relationship Id="rId2" Type="http://schemas.openxmlformats.org/officeDocument/2006/relationships/settings" Target="settings.xml"/><Relationship Id="rId19" Type="http://schemas.openxmlformats.org/officeDocument/2006/relationships/numbering" Target="numbering.xml"/><Relationship Id="rId18" Type="http://schemas.openxmlformats.org/officeDocument/2006/relationships/image" Target="media/image13.png"/><Relationship Id="rId17" Type="http://schemas.openxmlformats.org/officeDocument/2006/relationships/image" Target="media/image12.png"/><Relationship Id="rId16" Type="http://schemas.openxmlformats.org/officeDocument/2006/relationships/image" Target="media/image11.png"/><Relationship Id="rId15" Type="http://schemas.openxmlformats.org/officeDocument/2006/relationships/image" Target="media/image10.png"/><Relationship Id="rId14" Type="http://schemas.openxmlformats.org/officeDocument/2006/relationships/image" Target="media/image9.png"/><Relationship Id="rId13" Type="http://schemas.openxmlformats.org/officeDocument/2006/relationships/image" Target="media/image8.png"/><Relationship Id="rId12" Type="http://schemas.openxmlformats.org/officeDocument/2006/relationships/image" Target="media/image7.png"/><Relationship Id="rId11" Type="http://schemas.openxmlformats.org/officeDocument/2006/relationships/image" Target="media/image6.png"/><Relationship Id="rId10" Type="http://schemas.openxmlformats.org/officeDocument/2006/relationships/image" Target="media/image5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340</Words>
  <Characters>394</Characters>
  <Lines>0</Lines>
  <Paragraphs>0</Paragraphs>
  <TotalTime>1</TotalTime>
  <ScaleCrop>false</ScaleCrop>
  <LinksUpToDate>false</LinksUpToDate>
  <CharactersWithSpaces>395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2025-02-20T16:59:00Z</dcterms:created>
  <dc:creator>Carina 97</dc:creator>
  <cp:lastModifiedBy>Carina 97</cp:lastModifiedBy>
  <dcterms:modified xsi:type="dcterms:W3CDTF">2025-09-03T02:51:58Z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4E0FFEC52C6A4734A2163D0F97FEA13D_13</vt:lpwstr>
  </property>
  <property fmtid="{D5CDD505-2E9C-101B-9397-08002B2CF9AE}" pid="4" name="KSOTemplateDocerSaveRecord">
    <vt:lpwstr>eyJoZGlkIjoiZjdiZGM2MTkyNjg2ZDQyOWE3YWJhNDUxZDhiM2VlMDgiLCJ1c2VySWQiOiIyODM4MTEyMzYifQ==</vt:lpwstr>
  </property>
</Properties>
</file>